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50" w:rsidRPr="00634FFC" w:rsidRDefault="00D23650" w:rsidP="00D23650">
      <w:pPr>
        <w:ind w:left="-935" w:firstLine="935"/>
        <w:jc w:val="center"/>
        <w:rPr>
          <w:b/>
          <w:lang w:val="pl-PL"/>
        </w:rPr>
      </w:pPr>
      <w:bookmarkStart w:id="0" w:name="_GoBack"/>
      <w:bookmarkEnd w:id="0"/>
      <w:r w:rsidRPr="00634FFC">
        <w:rPr>
          <w:b/>
          <w:lang w:val="pl-PL"/>
        </w:rPr>
        <w:t>O G Ł O S Z E N I E</w:t>
      </w:r>
    </w:p>
    <w:p w:rsidR="00D23650" w:rsidRPr="00634FFC" w:rsidRDefault="00D23650" w:rsidP="00D23650">
      <w:pPr>
        <w:rPr>
          <w:lang w:val="pl-PL"/>
        </w:rPr>
      </w:pPr>
      <w:r w:rsidRPr="00634FFC">
        <w:rPr>
          <w:lang w:val="pl-PL"/>
        </w:rPr>
        <w:t xml:space="preserve">        </w:t>
      </w:r>
    </w:p>
    <w:p w:rsidR="00D23650" w:rsidRDefault="00D23650" w:rsidP="00D2365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Na podstawie art.38 ustawy z dnia 21 sierpnia 1997 roku o gospodarce nieruchomościami /Dz.U. z 2016r. poz.2147,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oraz § 13 rozporządzenia Rady Ministrów z dnia 14 września 2004 roku w sprawie sposobu i trybu przeprowadzania przetargów oraz rokowań na zbycie nieruchomości /Dz.U. z 2004r. Nr 207, poz. 2108 z </w:t>
      </w:r>
      <w:proofErr w:type="spellStart"/>
      <w:r>
        <w:rPr>
          <w:sz w:val="22"/>
          <w:szCs w:val="22"/>
          <w:lang w:val="pl-PL"/>
        </w:rPr>
        <w:t>późn</w:t>
      </w:r>
      <w:proofErr w:type="spellEnd"/>
      <w:r>
        <w:rPr>
          <w:sz w:val="22"/>
          <w:szCs w:val="22"/>
          <w:lang w:val="pl-PL"/>
        </w:rPr>
        <w:t xml:space="preserve">. zmianami/ - Burmistrz Drawska Pomorskiego  ogłasza </w:t>
      </w:r>
      <w:r>
        <w:rPr>
          <w:b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 xml:space="preserve">I </w:t>
      </w:r>
      <w:r>
        <w:rPr>
          <w:b/>
          <w:sz w:val="22"/>
          <w:szCs w:val="22"/>
          <w:lang w:val="pl-PL"/>
        </w:rPr>
        <w:t>przetarg ustny nieograniczony</w:t>
      </w:r>
      <w:r>
        <w:rPr>
          <w:sz w:val="22"/>
          <w:szCs w:val="22"/>
          <w:lang w:val="pl-PL"/>
        </w:rPr>
        <w:t xml:space="preserve">  na sprzedaż nieruchomości zabudowanej, położonej na terenie gminy Drawsko Pomorskie. 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282"/>
        <w:gridCol w:w="1985"/>
        <w:gridCol w:w="1417"/>
        <w:gridCol w:w="1854"/>
        <w:gridCol w:w="4100"/>
        <w:gridCol w:w="2342"/>
      </w:tblGrid>
      <w:tr w:rsidR="00D23650" w:rsidTr="002B41F3">
        <w:trPr>
          <w:cantSplit/>
          <w:trHeight w:val="916"/>
        </w:trPr>
        <w:tc>
          <w:tcPr>
            <w:tcW w:w="6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Lp</w:t>
            </w:r>
            <w:proofErr w:type="spellEnd"/>
            <w:r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8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Adres</w:t>
            </w:r>
            <w:proofErr w:type="spellEnd"/>
            <w:r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nieruchomości</w:t>
            </w:r>
            <w:proofErr w:type="spellEnd"/>
            <w:r>
              <w:rPr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Oznaczenie</w:t>
            </w:r>
            <w:proofErr w:type="spellEnd"/>
          </w:p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geodezyjne</w:t>
            </w:r>
            <w:proofErr w:type="spellEnd"/>
          </w:p>
        </w:tc>
        <w:tc>
          <w:tcPr>
            <w:tcW w:w="141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Pow.</w:t>
            </w:r>
          </w:p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działki</w:t>
            </w:r>
            <w:proofErr w:type="spellEnd"/>
          </w:p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w ha</w:t>
            </w:r>
          </w:p>
        </w:tc>
        <w:tc>
          <w:tcPr>
            <w:tcW w:w="18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Nr</w:t>
            </w:r>
            <w:proofErr w:type="spellEnd"/>
            <w:r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księgi</w:t>
            </w:r>
            <w:proofErr w:type="spellEnd"/>
          </w:p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wieczystej</w:t>
            </w:r>
            <w:proofErr w:type="spellEnd"/>
          </w:p>
        </w:tc>
        <w:tc>
          <w:tcPr>
            <w:tcW w:w="41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Opis</w:t>
            </w:r>
            <w:proofErr w:type="spellEnd"/>
            <w:r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nieruchomości</w:t>
            </w:r>
            <w:proofErr w:type="spellEnd"/>
          </w:p>
        </w:tc>
        <w:tc>
          <w:tcPr>
            <w:tcW w:w="23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Cena</w:t>
            </w:r>
            <w:proofErr w:type="spellEnd"/>
          </w:p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wywoławcza</w:t>
            </w:r>
            <w:proofErr w:type="spellEnd"/>
          </w:p>
        </w:tc>
      </w:tr>
      <w:tr w:rsidR="00D23650" w:rsidTr="002B41F3">
        <w:trPr>
          <w:cantSplit/>
          <w:trHeight w:val="277"/>
        </w:trPr>
        <w:tc>
          <w:tcPr>
            <w:tcW w:w="6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 xml:space="preserve"> 1.</w:t>
            </w:r>
          </w:p>
        </w:tc>
        <w:tc>
          <w:tcPr>
            <w:tcW w:w="228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>2.</w:t>
            </w:r>
          </w:p>
        </w:tc>
        <w:tc>
          <w:tcPr>
            <w:tcW w:w="19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>3.</w:t>
            </w:r>
          </w:p>
        </w:tc>
        <w:tc>
          <w:tcPr>
            <w:tcW w:w="141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>4.</w:t>
            </w:r>
          </w:p>
        </w:tc>
        <w:tc>
          <w:tcPr>
            <w:tcW w:w="18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   </w:t>
            </w:r>
            <w:r>
              <w:rPr>
                <w:b w:val="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41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>6.</w:t>
            </w:r>
          </w:p>
        </w:tc>
        <w:tc>
          <w:tcPr>
            <w:tcW w:w="2342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>7.</w:t>
            </w:r>
          </w:p>
        </w:tc>
      </w:tr>
      <w:tr w:rsidR="00D23650" w:rsidTr="002B41F3">
        <w:trPr>
          <w:cantSplit/>
          <w:trHeight w:val="948"/>
        </w:trPr>
        <w:tc>
          <w:tcPr>
            <w:tcW w:w="6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 w:val="0"/>
                <w:sz w:val="22"/>
                <w:szCs w:val="22"/>
                <w:vertAlign w:val="baseline"/>
              </w:rPr>
              <w:t xml:space="preserve">  1.</w:t>
            </w:r>
          </w:p>
        </w:tc>
        <w:tc>
          <w:tcPr>
            <w:tcW w:w="2282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>Linowno</w:t>
            </w:r>
            <w:r w:rsidR="00A76F66"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1</w:t>
            </w:r>
            <w:r w:rsidR="00634FFC">
              <w:rPr>
                <w:b w:val="0"/>
                <w:sz w:val="22"/>
                <w:szCs w:val="22"/>
                <w:vertAlign w:val="baseline"/>
                <w:lang w:val="pl-PL"/>
              </w:rPr>
              <w:t>4A</w:t>
            </w:r>
          </w:p>
          <w:p w:rsidR="00634FFC" w:rsidRDefault="00634FFC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Gmina Drawsko Pomorskie </w:t>
            </w:r>
          </w:p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985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</w:p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>dz. nr 7/20</w:t>
            </w:r>
          </w:p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>obręb Linowno</w:t>
            </w:r>
          </w:p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</w:t>
            </w:r>
          </w:p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</w:p>
        </w:tc>
        <w:tc>
          <w:tcPr>
            <w:tcW w:w="1417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>0,0968ha</w:t>
            </w:r>
          </w:p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 </w:t>
            </w:r>
          </w:p>
        </w:tc>
        <w:tc>
          <w:tcPr>
            <w:tcW w:w="1854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KO1D/00023302/1</w:t>
            </w:r>
          </w:p>
        </w:tc>
        <w:tc>
          <w:tcPr>
            <w:tcW w:w="4100" w:type="dxa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 działka zabudowana budynkiem  </w:t>
            </w:r>
          </w:p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                mieszkalnym </w:t>
            </w:r>
          </w:p>
          <w:p w:rsidR="00D23650" w:rsidRDefault="00D23650" w:rsidP="002B41F3">
            <w:pPr>
              <w:pStyle w:val="TableContents"/>
              <w:rPr>
                <w:b w:val="0"/>
                <w:sz w:val="22"/>
                <w:szCs w:val="22"/>
                <w:vertAlign w:val="baseline"/>
                <w:lang w:val="pl-PL"/>
              </w:rPr>
            </w:pPr>
            <w:r>
              <w:rPr>
                <w:b w:val="0"/>
                <w:sz w:val="22"/>
                <w:szCs w:val="22"/>
                <w:vertAlign w:val="baseline"/>
                <w:lang w:val="pl-PL"/>
              </w:rPr>
              <w:t xml:space="preserve"> </w:t>
            </w:r>
          </w:p>
        </w:tc>
        <w:tc>
          <w:tcPr>
            <w:tcW w:w="2342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23650" w:rsidRDefault="00D23650" w:rsidP="002B41F3">
            <w:pPr>
              <w:pStyle w:val="TableContents"/>
              <w:jc w:val="center"/>
              <w:rPr>
                <w:sz w:val="22"/>
                <w:szCs w:val="22"/>
                <w:vertAlign w:val="baseline"/>
                <w:lang w:val="pl-PL"/>
              </w:rPr>
            </w:pPr>
            <w:r>
              <w:rPr>
                <w:sz w:val="22"/>
                <w:szCs w:val="22"/>
                <w:vertAlign w:val="baseline"/>
                <w:lang w:val="pl-PL"/>
              </w:rPr>
              <w:t xml:space="preserve">26.000,-zł </w:t>
            </w:r>
          </w:p>
        </w:tc>
      </w:tr>
    </w:tbl>
    <w:p w:rsidR="00D23650" w:rsidRDefault="00D23650" w:rsidP="00D23650">
      <w:pPr>
        <w:rPr>
          <w:sz w:val="22"/>
          <w:szCs w:val="22"/>
          <w:lang w:val="pl-PL"/>
        </w:rPr>
      </w:pPr>
    </w:p>
    <w:p w:rsidR="00D23650" w:rsidRDefault="00D23650" w:rsidP="00D23650">
      <w:pPr>
        <w:rPr>
          <w:sz w:val="22"/>
          <w:szCs w:val="22"/>
          <w:lang w:val="pl-PL"/>
        </w:rPr>
      </w:pPr>
      <w:r>
        <w:rPr>
          <w:lang w:val="pl-PL"/>
        </w:rPr>
        <w:tab/>
        <w:t xml:space="preserve">Przetarg odbędzie się w siedzibie Urzędu Miejskiego w Drawsku Pomorskim  przy ul. Sikorskiego 41, dnia </w:t>
      </w:r>
      <w:r>
        <w:rPr>
          <w:b/>
          <w:lang w:val="pl-PL"/>
        </w:rPr>
        <w:t xml:space="preserve">30 czerwca 2017 roku o </w:t>
      </w:r>
      <w:proofErr w:type="spellStart"/>
      <w:r>
        <w:rPr>
          <w:b/>
          <w:lang w:val="pl-PL"/>
        </w:rPr>
        <w:t>godz</w:t>
      </w:r>
      <w:proofErr w:type="spellEnd"/>
      <w:r>
        <w:rPr>
          <w:b/>
          <w:lang w:val="pl-PL"/>
        </w:rPr>
        <w:t xml:space="preserve"> 10</w:t>
      </w:r>
      <w:r>
        <w:rPr>
          <w:b/>
          <w:vertAlign w:val="superscript"/>
          <w:lang w:val="pl-PL"/>
        </w:rPr>
        <w:t xml:space="preserve">00  </w:t>
      </w:r>
      <w:r>
        <w:rPr>
          <w:lang w:val="pl-PL"/>
        </w:rPr>
        <w:t xml:space="preserve">w pokoju nr 304. Warunkiem przystąpienia do przetargu jest wpłacenie wadium w formie pieniężnej w wysokości  </w:t>
      </w:r>
      <w:r>
        <w:rPr>
          <w:b/>
          <w:bCs/>
          <w:lang w:val="pl-PL"/>
        </w:rPr>
        <w:t>5.</w:t>
      </w:r>
      <w:r>
        <w:rPr>
          <w:b/>
          <w:lang w:val="pl-PL"/>
        </w:rPr>
        <w:t>000</w:t>
      </w:r>
      <w:r>
        <w:rPr>
          <w:b/>
          <w:bCs/>
          <w:lang w:val="pl-PL"/>
        </w:rPr>
        <w:t xml:space="preserve">,- zł. </w:t>
      </w:r>
      <w:r w:rsidR="00634FFC">
        <w:rPr>
          <w:b/>
          <w:bCs/>
          <w:lang w:val="pl-PL"/>
        </w:rPr>
        <w:t xml:space="preserve">              </w:t>
      </w:r>
      <w:r>
        <w:rPr>
          <w:lang w:val="pl-PL"/>
        </w:rPr>
        <w:t xml:space="preserve"> </w:t>
      </w:r>
      <w:r>
        <w:rPr>
          <w:u w:val="single"/>
          <w:lang w:val="pl-PL"/>
        </w:rPr>
        <w:t>z podaniem numeru działki na dowodzie wpłaty</w:t>
      </w:r>
      <w:r>
        <w:rPr>
          <w:lang w:val="pl-PL"/>
        </w:rPr>
        <w:t xml:space="preserve">, aby możliwe  było stwierdzenie jego zaksięgowania </w:t>
      </w:r>
      <w:r>
        <w:rPr>
          <w:b/>
          <w:lang w:val="pl-PL"/>
        </w:rPr>
        <w:t>najpóźniej  27 czerwca   2017 roku.</w:t>
      </w:r>
      <w:r>
        <w:rPr>
          <w:lang w:val="pl-PL"/>
        </w:rPr>
        <w:t xml:space="preserve"> Wpłaty wadium można dokonać  przelewem na konto tut. Urzędu nr  12 1020 2847 0000 1702 0009 6602 w PKO BP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D23650" w:rsidRDefault="00D23650" w:rsidP="008B1D0B">
      <w:pPr>
        <w:pStyle w:val="Tekstpodstawowywcity"/>
        <w:tabs>
          <w:tab w:val="left" w:pos="8300"/>
          <w:tab w:val="left" w:pos="8840"/>
        </w:tabs>
        <w:ind w:firstLine="0"/>
        <w:rPr>
          <w:sz w:val="22"/>
          <w:szCs w:val="22"/>
          <w:u w:val="single"/>
          <w:lang w:val="pl-PL"/>
        </w:rPr>
      </w:pPr>
      <w:r>
        <w:rPr>
          <w:sz w:val="22"/>
          <w:szCs w:val="22"/>
          <w:u w:val="single"/>
          <w:lang w:val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D23650" w:rsidRDefault="00D23650" w:rsidP="00D23650">
      <w:pPr>
        <w:pStyle w:val="Tekstpodstawowywcity"/>
        <w:tabs>
          <w:tab w:val="left" w:pos="8300"/>
          <w:tab w:val="left" w:pos="8840"/>
        </w:tabs>
        <w:ind w:firstLine="0"/>
        <w:rPr>
          <w:sz w:val="22"/>
          <w:szCs w:val="22"/>
          <w:u w:val="single"/>
          <w:lang w:val="pl-PL"/>
        </w:rPr>
      </w:pPr>
    </w:p>
    <w:p w:rsidR="00D23650" w:rsidRDefault="00D23650" w:rsidP="00D23650">
      <w:pPr>
        <w:ind w:firstLine="130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wysokości postąpienia decydują uczestnicy przetargu, z tym, 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że minimalne </w:t>
      </w:r>
      <w:r>
        <w:rPr>
          <w:b/>
          <w:sz w:val="22"/>
          <w:szCs w:val="22"/>
          <w:u w:val="single"/>
          <w:lang w:val="pl-PL"/>
        </w:rPr>
        <w:t>postąpienie wynosi</w:t>
      </w:r>
      <w:r>
        <w:rPr>
          <w:b/>
          <w:sz w:val="22"/>
          <w:szCs w:val="22"/>
          <w:lang w:val="pl-PL"/>
        </w:rPr>
        <w:t xml:space="preserve"> nie mniej niż 1% ceny wywoławczej</w:t>
      </w:r>
      <w:r>
        <w:rPr>
          <w:sz w:val="22"/>
          <w:szCs w:val="22"/>
          <w:lang w:val="pl-PL"/>
        </w:rPr>
        <w:t xml:space="preserve">. Cena osiągnięta w przetargu płatna jest jednorazowo przed zawarciem aktu notarialnego, najpóźniej 21 dni po przetargu.    </w:t>
      </w:r>
    </w:p>
    <w:p w:rsidR="00D23650" w:rsidRDefault="00D23650" w:rsidP="00D23650">
      <w:pPr>
        <w:ind w:hanging="2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przypadku uchylenia się od zawarcia umowy notarialnej wadium ulega przepadkowi.</w:t>
      </w:r>
    </w:p>
    <w:p w:rsidR="00D23650" w:rsidRDefault="00D23650" w:rsidP="00D23650">
      <w:pPr>
        <w:ind w:firstLine="130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Dodatkowe informacje o nieruchomości będącej przedmiotem przetargu, można uzyskać w Urzędzie Miejskim w Drawsku Pomorskim przy ul. Sikorskiego 41 w pokoju nr 111.</w:t>
      </w:r>
    </w:p>
    <w:p w:rsidR="00D23650" w:rsidRDefault="00D23650" w:rsidP="00D23650">
      <w:pPr>
        <w:rPr>
          <w:sz w:val="22"/>
          <w:szCs w:val="22"/>
          <w:lang w:val="pl-PL"/>
        </w:rPr>
      </w:pPr>
      <w:r w:rsidRPr="00906AEF">
        <w:rPr>
          <w:b/>
          <w:sz w:val="22"/>
          <w:szCs w:val="22"/>
          <w:lang w:val="pl-PL"/>
        </w:rPr>
        <w:t>Uwaga: Nieruchomość sprzedawana jest na własność</w:t>
      </w:r>
      <w:r>
        <w:rPr>
          <w:sz w:val="22"/>
          <w:szCs w:val="22"/>
          <w:lang w:val="pl-PL"/>
        </w:rPr>
        <w:t>.</w:t>
      </w:r>
      <w:r w:rsidRPr="00D23650">
        <w:rPr>
          <w:b/>
        </w:rPr>
        <w:t xml:space="preserve"> </w:t>
      </w:r>
      <w:proofErr w:type="spellStart"/>
      <w:r>
        <w:rPr>
          <w:b/>
        </w:rPr>
        <w:t>Nabywca</w:t>
      </w:r>
      <w:proofErr w:type="spellEnd"/>
      <w:r>
        <w:rPr>
          <w:b/>
        </w:rPr>
        <w:t xml:space="preserve"> we </w:t>
      </w:r>
      <w:proofErr w:type="spellStart"/>
      <w:r>
        <w:rPr>
          <w:b/>
        </w:rPr>
        <w:t>własnym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zakresie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wskazania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będzie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występować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żadnymi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roszczeniami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wobec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Gminy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Drawsko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Pomorskie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tytułu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ewentualnej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różnicy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powierzchni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sprzedawanej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nieruchomości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jeżeli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sprzedaży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geodeta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wykaże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inną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powierzchnię</w:t>
      </w:r>
      <w:proofErr w:type="spellEnd"/>
      <w:r>
        <w:rPr>
          <w:b/>
        </w:rPr>
        <w:t>.</w:t>
      </w:r>
    </w:p>
    <w:p w:rsidR="00907B66" w:rsidRPr="00907B66" w:rsidRDefault="00D23650" w:rsidP="00907B66">
      <w:pPr>
        <w:jc w:val="both"/>
        <w:rPr>
          <w:rFonts w:ascii="Calibri" w:eastAsia="Calibri" w:hAnsi="Calibri"/>
          <w:i/>
          <w:color w:val="auto"/>
          <w:sz w:val="22"/>
          <w:szCs w:val="22"/>
          <w:lang w:val="pl-PL" w:eastAsia="en-US"/>
        </w:rPr>
      </w:pPr>
      <w:r w:rsidRPr="00907B66">
        <w:rPr>
          <w:i/>
          <w:sz w:val="22"/>
          <w:szCs w:val="22"/>
          <w:lang w:val="pl-PL"/>
        </w:rPr>
        <w:t>Ogłoszenie zostało wywieszone na tablicy ogłoszeń Urzędu Miejskiego w Dra</w:t>
      </w:r>
      <w:r w:rsidR="00634FFC">
        <w:rPr>
          <w:i/>
          <w:sz w:val="22"/>
          <w:szCs w:val="22"/>
          <w:lang w:val="pl-PL"/>
        </w:rPr>
        <w:t xml:space="preserve">wsku Pomorskim w dniu </w:t>
      </w:r>
      <w:r w:rsidR="00A76F66">
        <w:rPr>
          <w:i/>
          <w:sz w:val="22"/>
          <w:szCs w:val="22"/>
          <w:lang w:val="pl-PL"/>
        </w:rPr>
        <w:t>16.05.2017</w:t>
      </w:r>
      <w:r w:rsidRPr="00907B66">
        <w:rPr>
          <w:i/>
          <w:sz w:val="22"/>
          <w:szCs w:val="22"/>
          <w:lang w:val="pl-PL"/>
        </w:rPr>
        <w:t>r.</w:t>
      </w:r>
      <w:r w:rsidR="00907B66" w:rsidRPr="00907B66">
        <w:rPr>
          <w:rFonts w:asciiTheme="minorHAnsi" w:eastAsiaTheme="minorEastAsia" w:hAnsiTheme="minorHAnsi"/>
          <w:i/>
          <w:color w:val="auto"/>
          <w:sz w:val="22"/>
          <w:szCs w:val="22"/>
          <w:lang w:val="pl-PL"/>
        </w:rPr>
        <w:t xml:space="preserve"> i ogłoszenie  zamieszcza się w ww.</w:t>
      </w:r>
      <w:r w:rsidR="00907B66" w:rsidRPr="00907B66">
        <w:rPr>
          <w:rFonts w:asciiTheme="minorHAnsi" w:eastAsiaTheme="minorEastAsia" w:hAnsiTheme="minorHAnsi"/>
          <w:color w:val="auto"/>
          <w:sz w:val="22"/>
          <w:szCs w:val="22"/>
          <w:lang w:val="pl-PL"/>
        </w:rPr>
        <w:t>,</w:t>
      </w:r>
      <w:r w:rsidR="00907B66" w:rsidRPr="00907B66">
        <w:rPr>
          <w:rFonts w:asciiTheme="minorHAnsi" w:eastAsiaTheme="minorEastAsia" w:hAnsiTheme="minorHAnsi"/>
          <w:i/>
          <w:color w:val="auto"/>
          <w:sz w:val="23"/>
          <w:szCs w:val="23"/>
          <w:lang w:val="pl-PL"/>
        </w:rPr>
        <w:t xml:space="preserve"> otoprzetargi.pl</w:t>
      </w:r>
      <w:r w:rsidR="00907B66" w:rsidRPr="00907B66">
        <w:rPr>
          <w:rFonts w:asciiTheme="minorHAnsi" w:eastAsiaTheme="minorEastAsia" w:hAnsiTheme="minorHAnsi"/>
          <w:color w:val="auto"/>
          <w:sz w:val="23"/>
          <w:szCs w:val="23"/>
          <w:lang w:val="pl-PL"/>
        </w:rPr>
        <w:t xml:space="preserve">, </w:t>
      </w:r>
      <w:r w:rsidR="00907B66" w:rsidRPr="00907B66">
        <w:rPr>
          <w:rFonts w:asciiTheme="minorHAnsi" w:eastAsiaTheme="minorEastAsia" w:hAnsiTheme="minorHAnsi"/>
          <w:color w:val="auto"/>
          <w:sz w:val="22"/>
          <w:szCs w:val="22"/>
          <w:lang w:val="pl-PL"/>
        </w:rPr>
        <w:t xml:space="preserve"> </w:t>
      </w:r>
      <w:hyperlink r:id="rId5" w:history="1">
        <w:r w:rsidR="00907B66" w:rsidRPr="00907B66">
          <w:rPr>
            <w:rFonts w:asciiTheme="minorHAnsi" w:eastAsiaTheme="minorEastAsia" w:hAnsiTheme="minorHAnsi"/>
            <w:i/>
            <w:color w:val="0000FF"/>
            <w:sz w:val="22"/>
            <w:szCs w:val="22"/>
            <w:u w:val="single"/>
            <w:lang w:val="pl-PL"/>
          </w:rPr>
          <w:t>www.drawsko.pl</w:t>
        </w:r>
      </w:hyperlink>
      <w:r w:rsidR="00907B66" w:rsidRPr="00907B66">
        <w:rPr>
          <w:rFonts w:asciiTheme="minorHAnsi" w:eastAsiaTheme="minorEastAsia" w:hAnsiTheme="minorHAnsi"/>
          <w:i/>
          <w:color w:val="auto"/>
          <w:sz w:val="22"/>
          <w:szCs w:val="22"/>
          <w:lang w:val="pl-PL"/>
        </w:rPr>
        <w:t xml:space="preserve">  i w prasie lokalnej „ Powiatowej Gazecie Drawskiej”. </w:t>
      </w:r>
    </w:p>
    <w:p w:rsidR="00D23650" w:rsidRDefault="00D23650" w:rsidP="00D23650">
      <w:pPr>
        <w:ind w:firstLine="1300"/>
        <w:rPr>
          <w:sz w:val="22"/>
          <w:szCs w:val="22"/>
          <w:lang w:val="pl-PL"/>
        </w:rPr>
      </w:pPr>
    </w:p>
    <w:p w:rsidR="00D23650" w:rsidRDefault="00D23650" w:rsidP="00D23650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Ogłoszenie zdjęto z tablicy ogłoszeń  .........................</w:t>
      </w:r>
    </w:p>
    <w:p w:rsidR="00896717" w:rsidRDefault="00896717"/>
    <w:sectPr w:rsidR="00896717" w:rsidSect="008B1D0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1C"/>
    <w:rsid w:val="003B4341"/>
    <w:rsid w:val="00634FFC"/>
    <w:rsid w:val="00692C1C"/>
    <w:rsid w:val="00896717"/>
    <w:rsid w:val="008B1D0B"/>
    <w:rsid w:val="00907B66"/>
    <w:rsid w:val="00A76F66"/>
    <w:rsid w:val="00D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8F2B1-B7DE-41C8-B126-17A7825F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65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23650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23650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customStyle="1" w:styleId="TableContents">
    <w:name w:val="Table Contents"/>
    <w:basedOn w:val="Tekstpodstawowy"/>
    <w:rsid w:val="00D23650"/>
    <w:pPr>
      <w:suppressLineNumbers/>
      <w:spacing w:after="0"/>
    </w:pPr>
    <w:rPr>
      <w:b/>
      <w:sz w:val="28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36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3650"/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F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FFC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customXml" Target="../customXml/item1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1B1F-3DBD-4D59-9E31-E1ABD735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5</cp:revision>
  <cp:lastPrinted>2017-05-15T05:41:00Z</cp:lastPrinted>
  <dcterms:created xsi:type="dcterms:W3CDTF">2017-05-15T05:25:00Z</dcterms:created>
  <dcterms:modified xsi:type="dcterms:W3CDTF">2017-05-15T06:26:00Z</dcterms:modified>
</cp:coreProperties>
</file>